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jc w:val="both"/>
        <w:textAlignment w:val="auto"/>
        <w:rPr>
          <w:rFonts w:hint="eastAsia" w:ascii="Times New Roman" w:hAnsi="Times New Roman" w:eastAsia="黑体" w:cs="Times New Roman"/>
          <w:lang w:val="en-US" w:eastAsia="zh-CN"/>
        </w:rPr>
      </w:pPr>
      <w:r>
        <w:rPr>
          <w:rFonts w:hint="eastAsia" w:ascii="Times New Roman" w:hAnsi="Times New Roman" w:eastAsia="黑体" w:cs="Times New Roman"/>
        </w:rPr>
        <w:t>附件3</w:t>
      </w:r>
      <w:r>
        <w:rPr>
          <w:rFonts w:hint="eastAsia" w:ascii="Times New Roman" w:hAnsi="Times New Roman" w:eastAsia="黑体" w:cs="Times New Roman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360" w:firstLineChars="100"/>
        <w:jc w:val="center"/>
        <w:textAlignment w:val="auto"/>
        <w:rPr>
          <w:rFonts w:hint="eastAsia" w:ascii="Times New Roman" w:hAnsi="Times New Roman" w:eastAsia="方正小标宋简体" w:cs="方正小标宋简体"/>
          <w:bCs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bCs/>
          <w:sz w:val="36"/>
          <w:szCs w:val="36"/>
        </w:rPr>
        <w:t>专属服务产品分类表</w:t>
      </w:r>
    </w:p>
    <w:tbl>
      <w:tblPr>
        <w:tblStyle w:val="10"/>
        <w:tblW w:w="494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7"/>
        <w:gridCol w:w="3164"/>
        <w:gridCol w:w="3461"/>
        <w:gridCol w:w="4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1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0"/>
                <w:lang w:val="en-US" w:eastAsia="zh-CN"/>
              </w:rPr>
              <w:t>服务产品类型</w:t>
            </w:r>
          </w:p>
        </w:tc>
        <w:tc>
          <w:tcPr>
            <w:tcW w:w="11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0"/>
              </w:rPr>
              <w:t>细分领域</w:t>
            </w:r>
          </w:p>
        </w:tc>
        <w:tc>
          <w:tcPr>
            <w:tcW w:w="12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0"/>
                <w:lang w:val="en-US" w:eastAsia="zh-CN"/>
              </w:rPr>
              <w:t>服务产品类型</w:t>
            </w:r>
          </w:p>
        </w:tc>
        <w:tc>
          <w:tcPr>
            <w:tcW w:w="1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0"/>
              </w:rPr>
              <w:t>细分领域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2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A加强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</w:rPr>
              <w:t>信贷支持</w:t>
            </w:r>
          </w:p>
        </w:tc>
        <w:tc>
          <w:tcPr>
            <w:tcW w:w="11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</w:rPr>
              <w:t>A1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专属信贷产品</w:t>
            </w:r>
          </w:p>
        </w:tc>
        <w:tc>
          <w:tcPr>
            <w:tcW w:w="1235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B</w:t>
            </w: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畅通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</w:rPr>
              <w:t>市场化融资</w:t>
            </w: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渠道</w:t>
            </w:r>
          </w:p>
        </w:tc>
        <w:tc>
          <w:tcPr>
            <w:tcW w:w="1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B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1上市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辅导与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保荐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</w:rPr>
              <w:t>A2融资担保</w:t>
            </w:r>
          </w:p>
        </w:tc>
        <w:tc>
          <w:tcPr>
            <w:tcW w:w="123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B</w:t>
            </w: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债券融资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A3金融科技</w:t>
            </w:r>
          </w:p>
        </w:tc>
        <w:tc>
          <w:tcPr>
            <w:tcW w:w="123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B</w:t>
            </w: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私募股权和产业基金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A4信用培植和增级</w:t>
            </w:r>
          </w:p>
        </w:tc>
        <w:tc>
          <w:tcPr>
            <w:tcW w:w="123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B4</w:t>
            </w: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供应链金融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A5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其他__</w:t>
            </w:r>
          </w:p>
        </w:tc>
        <w:tc>
          <w:tcPr>
            <w:tcW w:w="123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B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其他__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2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C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助力开拓市场</w:t>
            </w:r>
          </w:p>
        </w:tc>
        <w:tc>
          <w:tcPr>
            <w:tcW w:w="11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C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1新型营销渠道</w:t>
            </w:r>
          </w:p>
        </w:tc>
        <w:tc>
          <w:tcPr>
            <w:tcW w:w="1235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D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</w:rPr>
              <w:t>提升企业创新能力</w:t>
            </w:r>
          </w:p>
        </w:tc>
        <w:tc>
          <w:tcPr>
            <w:tcW w:w="1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D1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技术成果转移转化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C2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展览展销/跨境</w:t>
            </w: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撮合</w:t>
            </w:r>
          </w:p>
        </w:tc>
        <w:tc>
          <w:tcPr>
            <w:tcW w:w="123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D2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小试中试</w:t>
            </w: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和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工程化应用验证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C3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电子招采</w:t>
            </w: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交易</w:t>
            </w:r>
          </w:p>
        </w:tc>
        <w:tc>
          <w:tcPr>
            <w:tcW w:w="123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D3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国际创新资源引进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C4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出口信用保险</w:t>
            </w:r>
          </w:p>
        </w:tc>
        <w:tc>
          <w:tcPr>
            <w:tcW w:w="123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D4</w:t>
            </w: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大型实验室仪器设备共享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C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5其他__</w:t>
            </w:r>
          </w:p>
        </w:tc>
        <w:tc>
          <w:tcPr>
            <w:tcW w:w="123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D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其他__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2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E推动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</w:rPr>
              <w:t>产业链协同创新</w:t>
            </w:r>
          </w:p>
        </w:tc>
        <w:tc>
          <w:tcPr>
            <w:tcW w:w="11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E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1共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性技术研发</w:t>
            </w:r>
          </w:p>
        </w:tc>
        <w:tc>
          <w:tcPr>
            <w:tcW w:w="1235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F强化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精准对接</w:t>
            </w:r>
          </w:p>
        </w:tc>
        <w:tc>
          <w:tcPr>
            <w:tcW w:w="1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F1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“一站式”公共服务平台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E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供需配套对接</w:t>
            </w:r>
          </w:p>
        </w:tc>
        <w:tc>
          <w:tcPr>
            <w:tcW w:w="123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F2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企业画像与对标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E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战略规划咨询服务</w:t>
            </w:r>
          </w:p>
        </w:tc>
        <w:tc>
          <w:tcPr>
            <w:tcW w:w="123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F3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云上路演推介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2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E4其他</w:t>
            </w:r>
          </w:p>
        </w:tc>
        <w:tc>
          <w:tcPr>
            <w:tcW w:w="123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F4空间载体服务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2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123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F5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其他__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2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G加快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</w:rPr>
              <w:t>数字化</w:t>
            </w: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智能化绿色化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</w:rPr>
              <w:t>转型</w:t>
            </w:r>
          </w:p>
        </w:tc>
        <w:tc>
          <w:tcPr>
            <w:tcW w:w="11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G1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垂直行业工业互联网</w:t>
            </w:r>
          </w:p>
        </w:tc>
        <w:tc>
          <w:tcPr>
            <w:tcW w:w="1235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H加强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</w:rPr>
              <w:t>人才智力支持</w:t>
            </w:r>
          </w:p>
        </w:tc>
        <w:tc>
          <w:tcPr>
            <w:tcW w:w="1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H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1中高端人才招聘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G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2上云用云</w:t>
            </w:r>
          </w:p>
        </w:tc>
        <w:tc>
          <w:tcPr>
            <w:tcW w:w="123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H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2中高层管理人员培训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G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3智慧工厂/智能生产线</w:t>
            </w:r>
          </w:p>
        </w:tc>
        <w:tc>
          <w:tcPr>
            <w:tcW w:w="123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H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3职称评审与技能评级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G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4节能诊断和低碳改造</w:t>
            </w:r>
          </w:p>
        </w:tc>
        <w:tc>
          <w:tcPr>
            <w:tcW w:w="123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H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工程师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志愿服务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G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5其他__</w:t>
            </w:r>
          </w:p>
        </w:tc>
        <w:tc>
          <w:tcPr>
            <w:tcW w:w="123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H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5其他__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2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I推进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质量</w:t>
            </w: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管理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和品牌</w:t>
            </w: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建设</w:t>
            </w:r>
          </w:p>
        </w:tc>
        <w:tc>
          <w:tcPr>
            <w:tcW w:w="11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I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1国际国家行业标准制定</w:t>
            </w:r>
          </w:p>
        </w:tc>
        <w:tc>
          <w:tcPr>
            <w:tcW w:w="1235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J强化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知识产权保护和运用</w:t>
            </w:r>
          </w:p>
        </w:tc>
        <w:tc>
          <w:tcPr>
            <w:tcW w:w="1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J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1高价值专利培育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I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2高精密计量检测仪器</w:t>
            </w:r>
          </w:p>
        </w:tc>
        <w:tc>
          <w:tcPr>
            <w:tcW w:w="123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J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2专利预警与导航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I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3质量管理体系认证</w:t>
            </w:r>
          </w:p>
        </w:tc>
        <w:tc>
          <w:tcPr>
            <w:tcW w:w="123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J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3知识产权维权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I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4品牌策划和推广</w:t>
            </w:r>
          </w:p>
        </w:tc>
        <w:tc>
          <w:tcPr>
            <w:tcW w:w="123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J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4知识产权质押融资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I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5其他__</w:t>
            </w:r>
          </w:p>
        </w:tc>
        <w:tc>
          <w:tcPr>
            <w:tcW w:w="123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J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5其他__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2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K推动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工业设计</w:t>
            </w: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赋能</w:t>
            </w:r>
          </w:p>
        </w:tc>
        <w:tc>
          <w:tcPr>
            <w:tcW w:w="11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K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1产品/机械/包装等设计</w:t>
            </w:r>
          </w:p>
        </w:tc>
        <w:tc>
          <w:tcPr>
            <w:tcW w:w="1235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L提供专业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法律</w:t>
            </w: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咨询</w:t>
            </w:r>
          </w:p>
        </w:tc>
        <w:tc>
          <w:tcPr>
            <w:tcW w:w="1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L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1跨境投资与并购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K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2数据库/模型库/工具库</w:t>
            </w:r>
          </w:p>
        </w:tc>
        <w:tc>
          <w:tcPr>
            <w:tcW w:w="123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L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证券与资本市场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K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3协同设计平台</w:t>
            </w:r>
          </w:p>
        </w:tc>
        <w:tc>
          <w:tcPr>
            <w:tcW w:w="123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L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3企业合规业务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K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4其他__</w:t>
            </w:r>
          </w:p>
        </w:tc>
        <w:tc>
          <w:tcPr>
            <w:tcW w:w="123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L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4其他__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0" w:firstLineChars="0"/>
        <w:textAlignment w:val="auto"/>
      </w:pPr>
    </w:p>
    <w:sectPr>
      <w:headerReference r:id="rId5" w:type="default"/>
      <w:footerReference r:id="rId6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43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firstLine="0" w:firstLineChars="0"/>
      <w:textAlignment w:val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160"/>
  <w:drawingGridVerticalSpacing w:val="218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697AAEB2"/>
    <w:rsid w:val="BBCFC9C2"/>
    <w:rsid w:val="BD6B9C07"/>
    <w:rsid w:val="BE5CB141"/>
    <w:rsid w:val="F5BD584F"/>
    <w:rsid w:val="F7BD6982"/>
    <w:rsid w:val="F7E66131"/>
    <w:rsid w:val="FFF3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等线" w:hAnsi="等线" w:eastAsia="仿宋_GB2312" w:cs="宋体"/>
      <w:kern w:val="2"/>
      <w:sz w:val="32"/>
      <w:szCs w:val="22"/>
      <w:lang w:val="en-US" w:eastAsia="zh-CN" w:bidi="ar-SA"/>
    </w:rPr>
  </w:style>
  <w:style w:type="character" w:default="1" w:styleId="11">
    <w:name w:val="Default Paragraph Font"/>
    <w:qFormat/>
    <w:uiPriority w:val="1"/>
  </w:style>
  <w:style w:type="table" w:default="1" w:styleId="9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spacing w:line="520" w:lineRule="exact"/>
    </w:pPr>
    <w:rPr>
      <w:sz w:val="28"/>
      <w:szCs w:val="21"/>
    </w:rPr>
  </w:style>
  <w:style w:type="paragraph" w:styleId="3">
    <w:name w:val="annotation text"/>
    <w:basedOn w:val="1"/>
    <w:qFormat/>
    <w:uiPriority w:val="99"/>
    <w:pPr>
      <w:jc w:val="left"/>
    </w:pPr>
  </w:style>
  <w:style w:type="paragraph" w:styleId="4">
    <w:name w:val="Body Text"/>
    <w:basedOn w:val="1"/>
    <w:link w:val="21"/>
    <w:qFormat/>
    <w:uiPriority w:val="99"/>
    <w:pPr>
      <w:spacing w:before="100" w:beforeAutospacing="1" w:after="120" w:line="240" w:lineRule="auto"/>
      <w:ind w:firstLine="0" w:firstLineChars="0"/>
    </w:pPr>
    <w:rPr>
      <w:rFonts w:eastAsia="宋体" w:cs="Times New Roman"/>
      <w:sz w:val="21"/>
      <w:szCs w:val="21"/>
    </w:rPr>
  </w:style>
  <w:style w:type="paragraph" w:styleId="5">
    <w:name w:val="Balloon Text"/>
    <w:basedOn w:val="1"/>
    <w:link w:val="22"/>
    <w:qFormat/>
    <w:uiPriority w:val="0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FollowedHyperlink"/>
    <w:basedOn w:val="11"/>
    <w:qFormat/>
    <w:uiPriority w:val="0"/>
    <w:rPr>
      <w:color w:val="771CAA"/>
      <w:u w:val="none"/>
    </w:rPr>
  </w:style>
  <w:style w:type="character" w:styleId="14">
    <w:name w:val="Emphasis"/>
    <w:basedOn w:val="11"/>
    <w:qFormat/>
    <w:uiPriority w:val="0"/>
    <w:rPr>
      <w:color w:val="F73131"/>
    </w:rPr>
  </w:style>
  <w:style w:type="character" w:styleId="15">
    <w:name w:val="Hyperlink"/>
    <w:basedOn w:val="11"/>
    <w:qFormat/>
    <w:uiPriority w:val="0"/>
    <w:rPr>
      <w:color w:val="0000FF"/>
      <w:u w:val="single"/>
    </w:rPr>
  </w:style>
  <w:style w:type="character" w:styleId="16">
    <w:name w:val="annotation reference"/>
    <w:basedOn w:val="11"/>
    <w:qFormat/>
    <w:uiPriority w:val="0"/>
    <w:rPr>
      <w:sz w:val="21"/>
      <w:szCs w:val="21"/>
    </w:rPr>
  </w:style>
  <w:style w:type="character" w:styleId="17">
    <w:name w:val="HTML Cite"/>
    <w:basedOn w:val="11"/>
    <w:qFormat/>
    <w:uiPriority w:val="0"/>
    <w:rPr>
      <w:color w:val="008000"/>
    </w:rPr>
  </w:style>
  <w:style w:type="character" w:customStyle="1" w:styleId="18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9">
    <w:name w:val="页脚 字符"/>
    <w:basedOn w:val="11"/>
    <w:link w:val="6"/>
    <w:qFormat/>
    <w:uiPriority w:val="99"/>
    <w:rPr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/>
    </w:pPr>
  </w:style>
  <w:style w:type="character" w:customStyle="1" w:styleId="21">
    <w:name w:val="正文文本 字符"/>
    <w:basedOn w:val="11"/>
    <w:link w:val="4"/>
    <w:qFormat/>
    <w:uiPriority w:val="99"/>
    <w:rPr>
      <w:rFonts w:ascii="等线" w:hAnsi="等线" w:eastAsia="宋体" w:cs="Times New Roman"/>
      <w:szCs w:val="21"/>
    </w:rPr>
  </w:style>
  <w:style w:type="character" w:customStyle="1" w:styleId="22">
    <w:name w:val="批注框文本 字符"/>
    <w:basedOn w:val="11"/>
    <w:link w:val="5"/>
    <w:qFormat/>
    <w:uiPriority w:val="0"/>
    <w:rPr>
      <w:rFonts w:ascii="等线" w:hAnsi="等线" w:eastAsia="仿宋_GB2312" w:cs="宋体"/>
      <w:kern w:val="2"/>
      <w:sz w:val="18"/>
      <w:szCs w:val="18"/>
    </w:rPr>
  </w:style>
  <w:style w:type="paragraph" w:customStyle="1" w:styleId="23">
    <w:name w:val="Body text|1"/>
    <w:basedOn w:val="1"/>
    <w:qFormat/>
    <w:uiPriority w:val="0"/>
    <w:pPr>
      <w:spacing w:line="413" w:lineRule="auto"/>
      <w:ind w:firstLine="400"/>
    </w:pPr>
    <w:rPr>
      <w:rFonts w:ascii="宋体" w:hAnsi="宋体"/>
      <w:sz w:val="30"/>
      <w:szCs w:val="30"/>
      <w:lang w:val="zh-TW" w:eastAsia="zh-TW" w:bidi="zh-TW"/>
    </w:rPr>
  </w:style>
  <w:style w:type="character" w:customStyle="1" w:styleId="24">
    <w:name w:val="c-icon30"/>
    <w:basedOn w:val="11"/>
    <w:qFormat/>
    <w:uiPriority w:val="0"/>
  </w:style>
  <w:style w:type="character" w:customStyle="1" w:styleId="25">
    <w:name w:val="hover26"/>
    <w:basedOn w:val="11"/>
    <w:qFormat/>
    <w:uiPriority w:val="0"/>
  </w:style>
  <w:style w:type="character" w:customStyle="1" w:styleId="26">
    <w:name w:val="hover27"/>
    <w:basedOn w:val="11"/>
    <w:qFormat/>
    <w:uiPriority w:val="0"/>
    <w:rPr>
      <w:color w:val="315EFB"/>
    </w:rPr>
  </w:style>
  <w:style w:type="paragraph" w:customStyle="1" w:styleId="27">
    <w:name w:val="Revision_b6625dd8-237f-4206-b914-ccde5b7f6d37"/>
    <w:qFormat/>
    <w:uiPriority w:val="99"/>
    <w:rPr>
      <w:rFonts w:ascii="等线" w:hAnsi="等线" w:eastAsia="仿宋_GB2312" w:cs="宋体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2384</Words>
  <Characters>2537</Characters>
  <Paragraphs>388</Paragraphs>
  <TotalTime>1</TotalTime>
  <ScaleCrop>false</ScaleCrop>
  <LinksUpToDate>false</LinksUpToDate>
  <CharactersWithSpaces>2779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2022-05-17T12:24:00Z</dcterms:created>
  <dc:creator>付朋霞</dc:creator>
  <cp:lastModifiedBy>kylin</cp:lastModifiedBy>
  <cp:lastPrinted>2022-05-31T08:18:00Z</cp:lastPrinted>
  <dcterms:modified xsi:type="dcterms:W3CDTF">2022-06-06T09:22:12Z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A9C3004B2C444D3DA299EE881895962F</vt:lpwstr>
  </property>
  <property fmtid="{D5CDD505-2E9C-101B-9397-08002B2CF9AE}" pid="4" name="commondata">
    <vt:lpwstr>eyJoZGlkIjoiNjlhMmI1YzliMjBiN2QzMTg2ZDY2YTlmYjM4NDQzOWQifQ==</vt:lpwstr>
  </property>
</Properties>
</file>