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contextualSpacing w:val="0"/>
        <w:rPr>
          <w:rFonts w:hint="eastAsia" w:ascii="黑体" w:hAnsi="黑体" w:eastAsia="黑体" w:cs="黑体"/>
          <w:color w:val="000000"/>
          <w:kern w:val="0"/>
          <w:sz w:val="32"/>
          <w:szCs w:val="32"/>
        </w:rPr>
      </w:pPr>
      <w:bookmarkStart w:id="0" w:name="_GoBack"/>
      <w:bookmarkEnd w:id="0"/>
      <w:r>
        <w:rPr>
          <w:rFonts w:hint="eastAsia" w:ascii="黑体" w:hAnsi="黑体" w:eastAsia="黑体" w:cs="黑体"/>
          <w:color w:val="000000"/>
          <w:kern w:val="0"/>
          <w:sz w:val="32"/>
          <w:szCs w:val="32"/>
        </w:rPr>
        <w:t>附件1</w:t>
      </w:r>
    </w:p>
    <w:p>
      <w:pPr>
        <w:spacing w:line="560" w:lineRule="exact"/>
        <w:contextualSpacing/>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2021年度金融支农创新试点服务事项意向情况表</w:t>
      </w:r>
    </w:p>
    <w:tbl>
      <w:tblPr>
        <w:tblStyle w:val="7"/>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8"/>
        <w:gridCol w:w="2382"/>
        <w:gridCol w:w="1773"/>
        <w:gridCol w:w="3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试点名称</w:t>
            </w:r>
          </w:p>
        </w:tc>
        <w:tc>
          <w:tcPr>
            <w:tcW w:w="73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承接人</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具体部门</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试点联系人</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联系电话（手机）</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试点实施区域</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财政资金</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试点主要内容</w:t>
            </w:r>
          </w:p>
        </w:tc>
        <w:tc>
          <w:tcPr>
            <w:tcW w:w="730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（不超过800字）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47" w:hRule="atLeast"/>
        </w:trPr>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0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2" w:hRule="atLeast"/>
        </w:trPr>
        <w:tc>
          <w:tcPr>
            <w:tcW w:w="10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试点进度安排</w:t>
            </w:r>
          </w:p>
        </w:tc>
        <w:tc>
          <w:tcPr>
            <w:tcW w:w="73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（不超过300字）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1" w:hRule="atLeast"/>
        </w:trPr>
        <w:tc>
          <w:tcPr>
            <w:tcW w:w="3410" w:type="dxa"/>
            <w:gridSpan w:val="2"/>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承接机构签章：</w:t>
            </w:r>
          </w:p>
        </w:tc>
        <w:tc>
          <w:tcPr>
            <w:tcW w:w="4926" w:type="dxa"/>
            <w:gridSpan w:val="2"/>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省级农业农村部门意见（加盖单位公章）: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410"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负责人签字：</w:t>
            </w:r>
          </w:p>
        </w:tc>
        <w:tc>
          <w:tcPr>
            <w:tcW w:w="4926"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410"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 月 日</w:t>
            </w:r>
          </w:p>
        </w:tc>
        <w:tc>
          <w:tcPr>
            <w:tcW w:w="4926"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 月 日</w:t>
            </w:r>
          </w:p>
        </w:tc>
      </w:tr>
    </w:tbl>
    <w:p>
      <w:pPr>
        <w:widowControl/>
        <w:jc w:val="left"/>
        <w:rPr>
          <w:rFonts w:hint="default" w:ascii="Times New Roman" w:hAnsi="Times New Roman" w:eastAsia="仿宋_GB2312"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widowControl/>
        <w:jc w:val="center"/>
        <w:rPr>
          <w:rFonts w:hint="eastAsia" w:ascii="黑体" w:hAnsi="黑体" w:eastAsia="黑体" w:cs="黑体"/>
          <w:sz w:val="32"/>
          <w:szCs w:val="32"/>
        </w:rPr>
      </w:pPr>
      <w:r>
        <w:rPr>
          <w:rFonts w:hint="eastAsia" w:ascii="黑体" w:hAnsi="黑体" w:eastAsia="黑体" w:cs="黑体"/>
          <w:sz w:val="32"/>
          <w:szCs w:val="32"/>
        </w:rPr>
        <w:t>2021年度金融支农创新试点服务事项绩效目标表（新型农业经营主体信用体系）</w:t>
      </w:r>
    </w:p>
    <w:tbl>
      <w:tblPr>
        <w:tblStyle w:val="7"/>
        <w:tblpPr w:leftFromText="180" w:rightFromText="180" w:vertAnchor="text" w:horzAnchor="page" w:tblpX="1411" w:tblpY="626"/>
        <w:tblOverlap w:val="neve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97"/>
        <w:gridCol w:w="1592"/>
        <w:gridCol w:w="2609"/>
        <w:gridCol w:w="4932"/>
        <w:gridCol w:w="3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0" w:hRule="atLeast"/>
        </w:trPr>
        <w:tc>
          <w:tcPr>
            <w:tcW w:w="13988" w:type="dxa"/>
            <w:gridSpan w:val="5"/>
            <w:tcBorders>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机构名称：（金融机构）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55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指标名称</w:t>
            </w:r>
          </w:p>
        </w:tc>
        <w:tc>
          <w:tcPr>
            <w:tcW w:w="49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指标解释</w:t>
            </w:r>
          </w:p>
        </w:tc>
        <w:tc>
          <w:tcPr>
            <w:tcW w:w="34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3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一级指标</w:t>
            </w:r>
          </w:p>
        </w:tc>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二级指标</w:t>
            </w: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三级指标</w:t>
            </w:r>
          </w:p>
        </w:tc>
        <w:tc>
          <w:tcPr>
            <w:tcW w:w="49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3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3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w:t>
            </w:r>
          </w:p>
        </w:tc>
        <w:tc>
          <w:tcPr>
            <w:tcW w:w="15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信用信息数据库</w:t>
            </w:r>
          </w:p>
        </w:tc>
        <w:tc>
          <w:tcPr>
            <w:tcW w:w="4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建立新农主体信用信息数据库</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信用评价数量</w:t>
            </w:r>
          </w:p>
        </w:tc>
        <w:tc>
          <w:tcPr>
            <w:tcW w:w="4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农户信用评价完成数量（户）</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信用贷款规模</w:t>
            </w:r>
          </w:p>
        </w:tc>
        <w:tc>
          <w:tcPr>
            <w:tcW w:w="4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农户信用贷款投放量（万元）</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信贷综合成本</w:t>
            </w:r>
          </w:p>
        </w:tc>
        <w:tc>
          <w:tcPr>
            <w:tcW w:w="4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信用贷款平均综合成本</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（建议不高于6％）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397" w:type="dxa"/>
            <w:vMerge w:val="continue"/>
            <w:tcBorders>
              <w:top w:val="single" w:color="auto" w:sz="4" w:space="0"/>
              <w:left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5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信用评价体系</w:t>
            </w:r>
          </w:p>
        </w:tc>
        <w:tc>
          <w:tcPr>
            <w:tcW w:w="4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建立科学完善的信用评价体系</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（说明建立科学完善的信用评价体系的相关情况）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1397" w:type="dxa"/>
            <w:vMerge w:val="continue"/>
            <w:tcBorders>
              <w:top w:val="single" w:color="000000" w:sz="4" w:space="0"/>
              <w:left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5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数据交叉验证</w:t>
            </w:r>
          </w:p>
        </w:tc>
        <w:tc>
          <w:tcPr>
            <w:tcW w:w="4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实现金融机构获取的主体信息与直报系统中主体直报数据交叉验证</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（实现及时信息交叉核验）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397" w:type="dxa"/>
            <w:vMerge w:val="restart"/>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资金撬动能力</w:t>
            </w:r>
          </w:p>
        </w:tc>
        <w:tc>
          <w:tcPr>
            <w:tcW w:w="4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地方或金融机构配套资金投入金额（万元）</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397" w:type="dxa"/>
            <w:vMerge w:val="continue"/>
            <w:tcBorders>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形成典型模式</w:t>
            </w:r>
          </w:p>
        </w:tc>
        <w:tc>
          <w:tcPr>
            <w:tcW w:w="4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形成具有复制推广价值的金融支农典型模式</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（预计将形成的金融支农典型模式）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397" w:type="dxa"/>
            <w:vMerge w:val="continue"/>
            <w:tcBorders>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形成政策储备</w:t>
            </w:r>
          </w:p>
        </w:tc>
        <w:tc>
          <w:tcPr>
            <w:tcW w:w="4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为改革完善财政支农投入机制提供参考经验</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（预计将形成的参考经验）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397" w:type="dxa"/>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5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2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农户满意度</w:t>
            </w:r>
          </w:p>
        </w:tc>
        <w:tc>
          <w:tcPr>
            <w:tcW w:w="4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获得信贷服务的农户对创新试点是否满意</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（明确满意度指标）</w:t>
            </w:r>
          </w:p>
        </w:tc>
      </w:tr>
    </w:tbl>
    <w:p>
      <w:pPr>
        <w:widowControl/>
        <w:jc w:val="left"/>
        <w:rPr>
          <w:rFonts w:hint="default" w:ascii="Times New Roman" w:hAnsi="Times New Roman" w:eastAsia="仿宋_GB2312" w:cs="Times New Roman"/>
          <w:sz w:val="32"/>
          <w:szCs w:val="32"/>
        </w:rPr>
      </w:pPr>
    </w:p>
    <w:p>
      <w:pPr>
        <w:widowControl/>
        <w:jc w:val="left"/>
        <w:rPr>
          <w:rFonts w:hint="default"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p>
    <w:p>
      <w:pPr>
        <w:widowControl/>
        <w:jc w:val="left"/>
        <w:rPr>
          <w:rFonts w:hint="default" w:ascii="黑体" w:hAnsi="黑体" w:eastAsia="黑体" w:cs="黑体"/>
          <w:b w:val="0"/>
          <w:bCs w:val="0"/>
          <w:sz w:val="32"/>
          <w:szCs w:val="32"/>
        </w:rPr>
      </w:pPr>
      <w:r>
        <w:rPr>
          <w:rFonts w:hint="default" w:ascii="黑体" w:hAnsi="黑体" w:eastAsia="黑体" w:cs="黑体"/>
          <w:b w:val="0"/>
          <w:bCs w:val="0"/>
          <w:sz w:val="32"/>
          <w:szCs w:val="32"/>
        </w:rPr>
        <w:t>附件3</w:t>
      </w:r>
    </w:p>
    <w:p>
      <w:pPr>
        <w:widowControl/>
        <w:jc w:val="center"/>
        <w:rPr>
          <w:rFonts w:hint="eastAsia" w:ascii="黑体" w:hAnsi="黑体" w:eastAsia="黑体" w:cs="黑体"/>
          <w:sz w:val="32"/>
          <w:szCs w:val="32"/>
        </w:rPr>
      </w:pPr>
      <w:r>
        <w:rPr>
          <w:rFonts w:hint="eastAsia" w:ascii="黑体" w:hAnsi="黑体" w:eastAsia="黑体" w:cs="黑体"/>
          <w:sz w:val="32"/>
          <w:szCs w:val="32"/>
        </w:rPr>
        <w:t>2021年度金融支农创新试点服务事项绩效目标表（农业保险精准承保理赔机制创新）</w:t>
      </w:r>
    </w:p>
    <w:tbl>
      <w:tblPr>
        <w:tblStyle w:val="7"/>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3"/>
        <w:gridCol w:w="1619"/>
        <w:gridCol w:w="2112"/>
        <w:gridCol w:w="5286"/>
        <w:gridCol w:w="3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3" w:hRule="atLeast"/>
        </w:trPr>
        <w:tc>
          <w:tcPr>
            <w:tcW w:w="13988" w:type="dxa"/>
            <w:gridSpan w:val="5"/>
            <w:tcBorders>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机构名称：（保险机构）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52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指标名称</w:t>
            </w:r>
          </w:p>
        </w:tc>
        <w:tc>
          <w:tcPr>
            <w:tcW w:w="52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指标解释</w:t>
            </w:r>
          </w:p>
        </w:tc>
        <w:tc>
          <w:tcPr>
            <w:tcW w:w="3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一级指标</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二级指标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三级指标</w:t>
            </w:r>
          </w:p>
        </w:tc>
        <w:tc>
          <w:tcPr>
            <w:tcW w:w="52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3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6" w:hRule="atLeast"/>
        </w:trPr>
        <w:tc>
          <w:tcPr>
            <w:tcW w:w="15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数据共享</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开展农作物保险中共享土地承包经营权、灾损、保险公司承保理赔等信息的数量（万条）</w:t>
            </w:r>
          </w:p>
        </w:tc>
        <w:tc>
          <w:tcPr>
            <w:tcW w:w="3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（说明数据共享的条数；按照农户为单位进行）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5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承保理赔效率提升</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承保理赔的平均时长下降比例或绝对值（％或天）</w:t>
            </w:r>
          </w:p>
        </w:tc>
        <w:tc>
          <w:tcPr>
            <w:tcW w:w="346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5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6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防灾救灾协同机制</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农业保险与防灾救灾体系形成有效协同</w:t>
            </w:r>
          </w:p>
        </w:tc>
        <w:tc>
          <w:tcPr>
            <w:tcW w:w="3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（说明农业保险与防灾救灾体系形成有效协同相关情况）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5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6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数据交叉验证</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实现保险机构承保理赔过程环节信息与农业农村部门的土地确权数据等交叉验证。</w:t>
            </w:r>
          </w:p>
        </w:tc>
        <w:tc>
          <w:tcPr>
            <w:tcW w:w="3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（实现及时信息交叉核验）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5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资金撬动能力</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地方财政或保险机构配套资金投入金额</w:t>
            </w:r>
          </w:p>
        </w:tc>
        <w:tc>
          <w:tcPr>
            <w:tcW w:w="346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5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形成典型模式</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形成具有复制推广价值的农业保险精准承保理赔模式</w:t>
            </w:r>
          </w:p>
        </w:tc>
        <w:tc>
          <w:tcPr>
            <w:tcW w:w="3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（预计将形成的农业保险精准承保理赔模式）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5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形成政策储备</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为改革完善财政支农投入机制提供参考经验</w:t>
            </w:r>
          </w:p>
        </w:tc>
        <w:tc>
          <w:tcPr>
            <w:tcW w:w="3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（预计将形成的参考经验）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2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农户满意度</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获得保险服务的农户对创新试点是否满意</w:t>
            </w:r>
          </w:p>
        </w:tc>
        <w:tc>
          <w:tcPr>
            <w:tcW w:w="34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（明确满意度指标）</w:t>
            </w:r>
          </w:p>
        </w:tc>
      </w:tr>
    </w:tbl>
    <w:p>
      <w:pPr>
        <w:widowControl/>
        <w:jc w:val="center"/>
        <w:rPr>
          <w:rFonts w:hint="eastAsia" w:ascii="黑体" w:hAnsi="黑体" w:eastAsia="黑体" w:cs="黑体"/>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41999"/>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4F"/>
    <w:rsid w:val="0003345B"/>
    <w:rsid w:val="00043442"/>
    <w:rsid w:val="0006745F"/>
    <w:rsid w:val="00073AFC"/>
    <w:rsid w:val="000743D5"/>
    <w:rsid w:val="00091145"/>
    <w:rsid w:val="000928CB"/>
    <w:rsid w:val="000A5A1C"/>
    <w:rsid w:val="000B17F0"/>
    <w:rsid w:val="000C19BD"/>
    <w:rsid w:val="000D459A"/>
    <w:rsid w:val="000E27CA"/>
    <w:rsid w:val="000E3B6A"/>
    <w:rsid w:val="000F1E16"/>
    <w:rsid w:val="000F6FF2"/>
    <w:rsid w:val="00105EAA"/>
    <w:rsid w:val="001127FC"/>
    <w:rsid w:val="00117690"/>
    <w:rsid w:val="00120240"/>
    <w:rsid w:val="001258BD"/>
    <w:rsid w:val="00147BE1"/>
    <w:rsid w:val="001524BB"/>
    <w:rsid w:val="00175071"/>
    <w:rsid w:val="001830C1"/>
    <w:rsid w:val="001970B9"/>
    <w:rsid w:val="001971B9"/>
    <w:rsid w:val="0019776E"/>
    <w:rsid w:val="001A5B43"/>
    <w:rsid w:val="001B7737"/>
    <w:rsid w:val="001D142E"/>
    <w:rsid w:val="001D267D"/>
    <w:rsid w:val="001E388A"/>
    <w:rsid w:val="001E3EC4"/>
    <w:rsid w:val="00205988"/>
    <w:rsid w:val="00212708"/>
    <w:rsid w:val="00213BC2"/>
    <w:rsid w:val="00230351"/>
    <w:rsid w:val="002438C8"/>
    <w:rsid w:val="002453B8"/>
    <w:rsid w:val="00245980"/>
    <w:rsid w:val="00252C05"/>
    <w:rsid w:val="0025684A"/>
    <w:rsid w:val="00273235"/>
    <w:rsid w:val="00273445"/>
    <w:rsid w:val="00282797"/>
    <w:rsid w:val="00284D33"/>
    <w:rsid w:val="0029469C"/>
    <w:rsid w:val="002A7B0C"/>
    <w:rsid w:val="002A7C35"/>
    <w:rsid w:val="002E45F5"/>
    <w:rsid w:val="00305CE4"/>
    <w:rsid w:val="00310F79"/>
    <w:rsid w:val="00315020"/>
    <w:rsid w:val="003213CC"/>
    <w:rsid w:val="00326FEA"/>
    <w:rsid w:val="00335958"/>
    <w:rsid w:val="00337D09"/>
    <w:rsid w:val="00362549"/>
    <w:rsid w:val="00363925"/>
    <w:rsid w:val="00365ACE"/>
    <w:rsid w:val="003713D1"/>
    <w:rsid w:val="0037502D"/>
    <w:rsid w:val="00385137"/>
    <w:rsid w:val="003853E1"/>
    <w:rsid w:val="00387439"/>
    <w:rsid w:val="003A2C92"/>
    <w:rsid w:val="003C0DEA"/>
    <w:rsid w:val="003C1561"/>
    <w:rsid w:val="003D096B"/>
    <w:rsid w:val="003D09A1"/>
    <w:rsid w:val="003D1496"/>
    <w:rsid w:val="003D27EB"/>
    <w:rsid w:val="003E349F"/>
    <w:rsid w:val="003F027A"/>
    <w:rsid w:val="003F1278"/>
    <w:rsid w:val="003F2D4B"/>
    <w:rsid w:val="003F7C2B"/>
    <w:rsid w:val="00411C42"/>
    <w:rsid w:val="0042204F"/>
    <w:rsid w:val="00444E9C"/>
    <w:rsid w:val="00445CD3"/>
    <w:rsid w:val="004474C3"/>
    <w:rsid w:val="004500EA"/>
    <w:rsid w:val="00463DCC"/>
    <w:rsid w:val="00473F03"/>
    <w:rsid w:val="00475403"/>
    <w:rsid w:val="00475FBA"/>
    <w:rsid w:val="00476072"/>
    <w:rsid w:val="00482933"/>
    <w:rsid w:val="004912B9"/>
    <w:rsid w:val="004915B4"/>
    <w:rsid w:val="00492330"/>
    <w:rsid w:val="00493FD3"/>
    <w:rsid w:val="00494260"/>
    <w:rsid w:val="004971D2"/>
    <w:rsid w:val="004A10D0"/>
    <w:rsid w:val="004A6E69"/>
    <w:rsid w:val="004B4B2B"/>
    <w:rsid w:val="004B74AE"/>
    <w:rsid w:val="004C7970"/>
    <w:rsid w:val="004D0562"/>
    <w:rsid w:val="004D28DE"/>
    <w:rsid w:val="004D407A"/>
    <w:rsid w:val="004D611A"/>
    <w:rsid w:val="004D7C70"/>
    <w:rsid w:val="004E186C"/>
    <w:rsid w:val="004E48B8"/>
    <w:rsid w:val="004F0B6D"/>
    <w:rsid w:val="004F28C9"/>
    <w:rsid w:val="005106F1"/>
    <w:rsid w:val="00525235"/>
    <w:rsid w:val="005304D3"/>
    <w:rsid w:val="0053330F"/>
    <w:rsid w:val="005446C0"/>
    <w:rsid w:val="00550CB7"/>
    <w:rsid w:val="005559F6"/>
    <w:rsid w:val="005616D8"/>
    <w:rsid w:val="00562667"/>
    <w:rsid w:val="00565EC9"/>
    <w:rsid w:val="0057740B"/>
    <w:rsid w:val="005805F8"/>
    <w:rsid w:val="00581930"/>
    <w:rsid w:val="00581A8F"/>
    <w:rsid w:val="0059032C"/>
    <w:rsid w:val="00593CBB"/>
    <w:rsid w:val="005A0B15"/>
    <w:rsid w:val="005A3A84"/>
    <w:rsid w:val="005D3597"/>
    <w:rsid w:val="005E6DCA"/>
    <w:rsid w:val="005F2C0E"/>
    <w:rsid w:val="006047A8"/>
    <w:rsid w:val="006139C8"/>
    <w:rsid w:val="00657CC6"/>
    <w:rsid w:val="00685F94"/>
    <w:rsid w:val="00687FE5"/>
    <w:rsid w:val="006B21EE"/>
    <w:rsid w:val="006B56AE"/>
    <w:rsid w:val="006C0701"/>
    <w:rsid w:val="006C0F9F"/>
    <w:rsid w:val="006C407F"/>
    <w:rsid w:val="006E1A0E"/>
    <w:rsid w:val="006E6F42"/>
    <w:rsid w:val="006F3455"/>
    <w:rsid w:val="006F56EA"/>
    <w:rsid w:val="007163FC"/>
    <w:rsid w:val="00720724"/>
    <w:rsid w:val="00720898"/>
    <w:rsid w:val="0072692A"/>
    <w:rsid w:val="00734970"/>
    <w:rsid w:val="00735E5B"/>
    <w:rsid w:val="00750319"/>
    <w:rsid w:val="007517E7"/>
    <w:rsid w:val="00777E77"/>
    <w:rsid w:val="00783F95"/>
    <w:rsid w:val="00784C1F"/>
    <w:rsid w:val="007850D6"/>
    <w:rsid w:val="00785EC0"/>
    <w:rsid w:val="007B4583"/>
    <w:rsid w:val="007D3C5C"/>
    <w:rsid w:val="007E55BC"/>
    <w:rsid w:val="00806D64"/>
    <w:rsid w:val="008118A1"/>
    <w:rsid w:val="0081457C"/>
    <w:rsid w:val="00840A83"/>
    <w:rsid w:val="008412F9"/>
    <w:rsid w:val="008424D0"/>
    <w:rsid w:val="0084574F"/>
    <w:rsid w:val="00846056"/>
    <w:rsid w:val="00855401"/>
    <w:rsid w:val="0085559D"/>
    <w:rsid w:val="008573D0"/>
    <w:rsid w:val="00863C79"/>
    <w:rsid w:val="00880E38"/>
    <w:rsid w:val="00883DB0"/>
    <w:rsid w:val="008A1A4E"/>
    <w:rsid w:val="008A1B99"/>
    <w:rsid w:val="008A4B0A"/>
    <w:rsid w:val="008A4C04"/>
    <w:rsid w:val="008A4C8E"/>
    <w:rsid w:val="008B11B3"/>
    <w:rsid w:val="008C038B"/>
    <w:rsid w:val="008C1414"/>
    <w:rsid w:val="008C37D5"/>
    <w:rsid w:val="008E7244"/>
    <w:rsid w:val="008E73C3"/>
    <w:rsid w:val="00904315"/>
    <w:rsid w:val="00910DF6"/>
    <w:rsid w:val="009112AF"/>
    <w:rsid w:val="00913D60"/>
    <w:rsid w:val="009228DB"/>
    <w:rsid w:val="0093474B"/>
    <w:rsid w:val="00944BA9"/>
    <w:rsid w:val="009463C0"/>
    <w:rsid w:val="00956C04"/>
    <w:rsid w:val="00976389"/>
    <w:rsid w:val="009840BF"/>
    <w:rsid w:val="0099351B"/>
    <w:rsid w:val="009A2A5B"/>
    <w:rsid w:val="009B1946"/>
    <w:rsid w:val="009B25AD"/>
    <w:rsid w:val="009B4B8F"/>
    <w:rsid w:val="009D1585"/>
    <w:rsid w:val="009E26C8"/>
    <w:rsid w:val="009F3194"/>
    <w:rsid w:val="009F6DA1"/>
    <w:rsid w:val="009F7D7A"/>
    <w:rsid w:val="00A01079"/>
    <w:rsid w:val="00A04814"/>
    <w:rsid w:val="00A16D23"/>
    <w:rsid w:val="00A27D16"/>
    <w:rsid w:val="00A27DD0"/>
    <w:rsid w:val="00A31DDA"/>
    <w:rsid w:val="00A332F6"/>
    <w:rsid w:val="00A50FF5"/>
    <w:rsid w:val="00A5649C"/>
    <w:rsid w:val="00A56A23"/>
    <w:rsid w:val="00A844C6"/>
    <w:rsid w:val="00A97C50"/>
    <w:rsid w:val="00AB045D"/>
    <w:rsid w:val="00AB50CE"/>
    <w:rsid w:val="00AB630A"/>
    <w:rsid w:val="00AC3BF8"/>
    <w:rsid w:val="00AE145B"/>
    <w:rsid w:val="00AE1B82"/>
    <w:rsid w:val="00AE3202"/>
    <w:rsid w:val="00B00E13"/>
    <w:rsid w:val="00B05916"/>
    <w:rsid w:val="00B236C1"/>
    <w:rsid w:val="00B300D0"/>
    <w:rsid w:val="00B34467"/>
    <w:rsid w:val="00B4105F"/>
    <w:rsid w:val="00B41367"/>
    <w:rsid w:val="00B57A4C"/>
    <w:rsid w:val="00BA00EF"/>
    <w:rsid w:val="00BA6F2E"/>
    <w:rsid w:val="00BA6FC5"/>
    <w:rsid w:val="00BB0B33"/>
    <w:rsid w:val="00BE0D1D"/>
    <w:rsid w:val="00BF1909"/>
    <w:rsid w:val="00C02BF6"/>
    <w:rsid w:val="00C03128"/>
    <w:rsid w:val="00C0654D"/>
    <w:rsid w:val="00C21408"/>
    <w:rsid w:val="00C22C50"/>
    <w:rsid w:val="00C265C9"/>
    <w:rsid w:val="00C42559"/>
    <w:rsid w:val="00C511C7"/>
    <w:rsid w:val="00C559FB"/>
    <w:rsid w:val="00C55AEF"/>
    <w:rsid w:val="00CE3450"/>
    <w:rsid w:val="00CF5661"/>
    <w:rsid w:val="00D17DEA"/>
    <w:rsid w:val="00D21B66"/>
    <w:rsid w:val="00D33B87"/>
    <w:rsid w:val="00D34653"/>
    <w:rsid w:val="00D45691"/>
    <w:rsid w:val="00D52C65"/>
    <w:rsid w:val="00D54EE3"/>
    <w:rsid w:val="00D5554F"/>
    <w:rsid w:val="00D6674E"/>
    <w:rsid w:val="00D8260A"/>
    <w:rsid w:val="00D92BD5"/>
    <w:rsid w:val="00D93A3C"/>
    <w:rsid w:val="00D96633"/>
    <w:rsid w:val="00DA0D16"/>
    <w:rsid w:val="00DA27E0"/>
    <w:rsid w:val="00DA39EE"/>
    <w:rsid w:val="00DA5369"/>
    <w:rsid w:val="00DB7DB6"/>
    <w:rsid w:val="00DD3B7D"/>
    <w:rsid w:val="00DD4BD5"/>
    <w:rsid w:val="00DD6F50"/>
    <w:rsid w:val="00DE7231"/>
    <w:rsid w:val="00DE78E5"/>
    <w:rsid w:val="00DE7C13"/>
    <w:rsid w:val="00DF4236"/>
    <w:rsid w:val="00E11AE9"/>
    <w:rsid w:val="00E1325B"/>
    <w:rsid w:val="00E17F39"/>
    <w:rsid w:val="00E20CF9"/>
    <w:rsid w:val="00E21908"/>
    <w:rsid w:val="00E4302C"/>
    <w:rsid w:val="00E52D48"/>
    <w:rsid w:val="00E677A6"/>
    <w:rsid w:val="00E71456"/>
    <w:rsid w:val="00E75730"/>
    <w:rsid w:val="00EA4D88"/>
    <w:rsid w:val="00EB6564"/>
    <w:rsid w:val="00EB7149"/>
    <w:rsid w:val="00ED076B"/>
    <w:rsid w:val="00ED2177"/>
    <w:rsid w:val="00EE0CDD"/>
    <w:rsid w:val="00EE1D20"/>
    <w:rsid w:val="00EE4F3D"/>
    <w:rsid w:val="00EF4387"/>
    <w:rsid w:val="00F03E6E"/>
    <w:rsid w:val="00F05B6B"/>
    <w:rsid w:val="00F215ED"/>
    <w:rsid w:val="00F25D9A"/>
    <w:rsid w:val="00F27009"/>
    <w:rsid w:val="00F4558C"/>
    <w:rsid w:val="00F56707"/>
    <w:rsid w:val="00F80330"/>
    <w:rsid w:val="00F83479"/>
    <w:rsid w:val="00F90F39"/>
    <w:rsid w:val="00FA10C1"/>
    <w:rsid w:val="00FA2972"/>
    <w:rsid w:val="00FB07BA"/>
    <w:rsid w:val="00FB5FBF"/>
    <w:rsid w:val="00FC20B9"/>
    <w:rsid w:val="00FE590E"/>
    <w:rsid w:val="00FF4080"/>
    <w:rsid w:val="0FBFBFC7"/>
    <w:rsid w:val="17BAE206"/>
    <w:rsid w:val="25D502D0"/>
    <w:rsid w:val="2BEFDEDD"/>
    <w:rsid w:val="32DF4CFB"/>
    <w:rsid w:val="35BC0DFF"/>
    <w:rsid w:val="3EFBE70F"/>
    <w:rsid w:val="3FFD2F59"/>
    <w:rsid w:val="45AF0349"/>
    <w:rsid w:val="45F524CA"/>
    <w:rsid w:val="476933EE"/>
    <w:rsid w:val="5A6933F4"/>
    <w:rsid w:val="5B3BE36D"/>
    <w:rsid w:val="5BDE5FB9"/>
    <w:rsid w:val="5D763396"/>
    <w:rsid w:val="5F8FB3BC"/>
    <w:rsid w:val="5F9E2EE1"/>
    <w:rsid w:val="5FD91427"/>
    <w:rsid w:val="5FF73FF5"/>
    <w:rsid w:val="622A8025"/>
    <w:rsid w:val="67764CA3"/>
    <w:rsid w:val="67FC7641"/>
    <w:rsid w:val="68D9BBF8"/>
    <w:rsid w:val="698D4A1E"/>
    <w:rsid w:val="6F17A0E5"/>
    <w:rsid w:val="6F1B53AA"/>
    <w:rsid w:val="6F3F3AAC"/>
    <w:rsid w:val="6F722A2F"/>
    <w:rsid w:val="6FBE3EE1"/>
    <w:rsid w:val="73FFE9DA"/>
    <w:rsid w:val="77BB8921"/>
    <w:rsid w:val="77EFFA46"/>
    <w:rsid w:val="77FE9D9A"/>
    <w:rsid w:val="7AEF6524"/>
    <w:rsid w:val="7BEF08DC"/>
    <w:rsid w:val="7C79521A"/>
    <w:rsid w:val="7D5F93DF"/>
    <w:rsid w:val="7DBFAB5E"/>
    <w:rsid w:val="7DC75D56"/>
    <w:rsid w:val="7DEDB22C"/>
    <w:rsid w:val="7DEF96C0"/>
    <w:rsid w:val="7E8E5070"/>
    <w:rsid w:val="7ECFD75B"/>
    <w:rsid w:val="7EDF35B2"/>
    <w:rsid w:val="7EDF4C6D"/>
    <w:rsid w:val="7EFD38A4"/>
    <w:rsid w:val="7F3F4A41"/>
    <w:rsid w:val="7F3F4F75"/>
    <w:rsid w:val="7F7B0AF2"/>
    <w:rsid w:val="7F7E7733"/>
    <w:rsid w:val="7F9E84DC"/>
    <w:rsid w:val="7FAE8706"/>
    <w:rsid w:val="7FBDEBB6"/>
    <w:rsid w:val="7FCFB2D8"/>
    <w:rsid w:val="7FDFDFCB"/>
    <w:rsid w:val="7FFC8F4A"/>
    <w:rsid w:val="7FFF655A"/>
    <w:rsid w:val="7FFFA692"/>
    <w:rsid w:val="99EF4D81"/>
    <w:rsid w:val="9FA9D719"/>
    <w:rsid w:val="9FCF302E"/>
    <w:rsid w:val="A5FF1510"/>
    <w:rsid w:val="A6CFEC67"/>
    <w:rsid w:val="B47729B5"/>
    <w:rsid w:val="BB3F7510"/>
    <w:rsid w:val="BBCFE01F"/>
    <w:rsid w:val="BFD8AE27"/>
    <w:rsid w:val="BFDA6674"/>
    <w:rsid w:val="BFE03554"/>
    <w:rsid w:val="BFFAE9E3"/>
    <w:rsid w:val="BFFFD16B"/>
    <w:rsid w:val="CB5C5166"/>
    <w:rsid w:val="CBE9F9C7"/>
    <w:rsid w:val="CEBE2540"/>
    <w:rsid w:val="D4BC6F08"/>
    <w:rsid w:val="D6FEE035"/>
    <w:rsid w:val="D7EE9847"/>
    <w:rsid w:val="DAFA24B3"/>
    <w:rsid w:val="DB3B5530"/>
    <w:rsid w:val="DBFB5C85"/>
    <w:rsid w:val="DCFF0EF7"/>
    <w:rsid w:val="DF3CB907"/>
    <w:rsid w:val="DF5D70D8"/>
    <w:rsid w:val="DF7708C7"/>
    <w:rsid w:val="DFFFC585"/>
    <w:rsid w:val="E56F400B"/>
    <w:rsid w:val="E866C862"/>
    <w:rsid w:val="E9BF8563"/>
    <w:rsid w:val="EBEE0D42"/>
    <w:rsid w:val="EDE1E9A9"/>
    <w:rsid w:val="EE5D7113"/>
    <w:rsid w:val="EECF2ED3"/>
    <w:rsid w:val="EFDBDFAE"/>
    <w:rsid w:val="F2E8FDF8"/>
    <w:rsid w:val="F3FDFB5C"/>
    <w:rsid w:val="F6B7C58E"/>
    <w:rsid w:val="F7BF0421"/>
    <w:rsid w:val="F7EC63E2"/>
    <w:rsid w:val="F7ED6B7E"/>
    <w:rsid w:val="F7FF4B39"/>
    <w:rsid w:val="F95F9FD4"/>
    <w:rsid w:val="F9CF3071"/>
    <w:rsid w:val="FAF7E359"/>
    <w:rsid w:val="FAFFBFC8"/>
    <w:rsid w:val="FBD5BA6A"/>
    <w:rsid w:val="FBEA0BE1"/>
    <w:rsid w:val="FBEF1960"/>
    <w:rsid w:val="FD3FB61A"/>
    <w:rsid w:val="FD6365F1"/>
    <w:rsid w:val="FD759CB6"/>
    <w:rsid w:val="FDE7559C"/>
    <w:rsid w:val="FDF246DB"/>
    <w:rsid w:val="FDFC4D41"/>
    <w:rsid w:val="FE93A094"/>
    <w:rsid w:val="FEC39053"/>
    <w:rsid w:val="FECFB5EC"/>
    <w:rsid w:val="FEF5A450"/>
    <w:rsid w:val="FF2F2075"/>
    <w:rsid w:val="FF57CF8A"/>
    <w:rsid w:val="FF69C018"/>
    <w:rsid w:val="FFA5AECF"/>
    <w:rsid w:val="FFE57E0C"/>
    <w:rsid w:val="FFF19A83"/>
    <w:rsid w:val="FFFB1F4A"/>
    <w:rsid w:val="FFFB394C"/>
    <w:rsid w:val="FFFBCD2D"/>
    <w:rsid w:val="FFFD8868"/>
    <w:rsid w:val="FFFF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dc_2"/>
    <w:basedOn w:val="8"/>
    <w:qFormat/>
    <w:uiPriority w:val="0"/>
  </w:style>
  <w:style w:type="character" w:customStyle="1" w:styleId="13">
    <w:name w:val="dc_3"/>
    <w:basedOn w:val="8"/>
    <w:qFormat/>
    <w:uiPriority w:val="0"/>
  </w:style>
  <w:style w:type="character" w:customStyle="1" w:styleId="14">
    <w:name w:val="font_size"/>
    <w:basedOn w:val="8"/>
    <w:qFormat/>
    <w:uiPriority w:val="0"/>
  </w:style>
  <w:style w:type="character" w:customStyle="1" w:styleId="15">
    <w:name w:val="页眉 Char"/>
    <w:basedOn w:val="8"/>
    <w:link w:val="5"/>
    <w:qFormat/>
    <w:uiPriority w:val="99"/>
    <w:rPr>
      <w:sz w:val="18"/>
      <w:szCs w:val="18"/>
    </w:rPr>
  </w:style>
  <w:style w:type="character" w:customStyle="1" w:styleId="16">
    <w:name w:val="页脚 Char"/>
    <w:basedOn w:val="8"/>
    <w:link w:val="4"/>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673</Words>
  <Characters>3840</Characters>
  <Lines>32</Lines>
  <Paragraphs>9</Paragraphs>
  <TotalTime>51</TotalTime>
  <ScaleCrop>false</ScaleCrop>
  <LinksUpToDate>false</LinksUpToDate>
  <CharactersWithSpaces>4504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2019-07-05T11:11:00Z</dcterms:created>
  <dc:creator>DELL</dc:creator>
  <cp:lastModifiedBy>lenovo</cp:lastModifiedBy>
  <cp:lastPrinted>2021-08-27T10:01:00Z</cp:lastPrinted>
  <dcterms:modified xsi:type="dcterms:W3CDTF">2021-09-02T08:29:11Z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D00D8B255AF140C1A4DEFB1FA6AFEB64</vt:lpwstr>
  </property>
</Properties>
</file>