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560"/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黑体" w:cs="黑体"/>
          <w:b w:val="0"/>
          <w:bCs w:val="0"/>
          <w:spacing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pacing w:val="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jc w:val="center"/>
        <w:textAlignment w:val="center"/>
        <w:rPr>
          <w:rFonts w:hint="eastAsia" w:ascii="Times New Roman" w:hAnsi="Times New Roman" w:eastAsia="方正小标宋简体" w:cs="方正小标宋简体"/>
          <w:b w:val="0"/>
          <w:bCs w:val="0"/>
          <w:i w:val="0"/>
          <w:color w:val="000000"/>
          <w:spacing w:val="0"/>
          <w:kern w:val="0"/>
          <w:sz w:val="42"/>
          <w:szCs w:val="42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color w:val="000000"/>
          <w:spacing w:val="0"/>
          <w:kern w:val="0"/>
          <w:sz w:val="42"/>
          <w:szCs w:val="42"/>
          <w:u w:val="none"/>
          <w:lang w:val="en-US" w:eastAsia="zh-CN" w:bidi="ar"/>
        </w:rPr>
        <w:t>市城建委2018年政府投资城建重点项目表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jc w:val="center"/>
        <w:textAlignment w:val="center"/>
        <w:rPr>
          <w:rFonts w:hint="eastAsia" w:ascii="Times New Roman" w:hAnsi="Times New Roman" w:eastAsia="宋体" w:cs="宋体"/>
          <w:i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olor w:val="000000"/>
          <w:spacing w:val="0"/>
          <w:kern w:val="0"/>
          <w:sz w:val="30"/>
          <w:szCs w:val="30"/>
          <w:u w:val="none"/>
          <w:lang w:val="en-US" w:eastAsia="zh-CN" w:bidi="ar"/>
        </w:rPr>
        <w:t xml:space="preserve">                                                                      </w:t>
      </w:r>
      <w:r>
        <w:rPr>
          <w:rFonts w:hint="eastAsia" w:ascii="Times New Roman" w:hAnsi="Times New Roman" w:eastAsia="宋体" w:cs="宋体"/>
          <w:i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 xml:space="preserve">  单位：亿元</w:t>
      </w:r>
    </w:p>
    <w:tbl>
      <w:tblPr>
        <w:tblStyle w:val="5"/>
        <w:tblW w:w="129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8"/>
        <w:gridCol w:w="1547"/>
        <w:gridCol w:w="3900"/>
        <w:gridCol w:w="816"/>
        <w:gridCol w:w="850"/>
        <w:gridCol w:w="1166"/>
        <w:gridCol w:w="1076"/>
        <w:gridCol w:w="1061"/>
        <w:gridCol w:w="1165"/>
        <w:gridCol w:w="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主要建设内容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性质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当年计划完成投资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当年政府出资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5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合  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70.73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27.61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8.96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110国道改造及管廊建设工程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道路改造：昆河桥—北绕城起点，全长22.8公里，包括：道路、桥梁、雨水、污水、硬化等。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13.49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6.95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PPP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管廊建设：白云路</w:t>
            </w:r>
            <w:r>
              <w:rPr>
                <w:rFonts w:hint="eastAsia" w:ascii="Times New Roman" w:hAnsi="Times New Roman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银海路长5公里、四道沙河东侧抢险路</w:t>
            </w:r>
            <w:r>
              <w:rPr>
                <w:rFonts w:hint="eastAsia" w:ascii="Times New Roman" w:hAnsi="Times New Roman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210国道长6公里。入廊管线：给水、中水、电力、通讯、热力、燃气等。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12.00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6.00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PPP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沼南大道建设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道路建设：站前路至红旗大道段，全长6.8公里，红线宽度50米，包括;道路、雨水、污水、硬化等。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2.28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1.62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1.62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管廊建设：规划二路</w:t>
            </w:r>
            <w:r>
              <w:rPr>
                <w:rFonts w:hint="eastAsia" w:ascii="Times New Roman" w:hAnsi="Times New Roman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红旗大道 （黄河大道） ，全长 6.7公里。入廊管线：给水、中水、电力、通讯、热力、燃气等。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6.60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3.50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PPP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主要建设内容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性质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当年计划完成投资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当年政府出资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包头市万水泉污水处理厂二期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一期工程污水处理规模5万吨/日，二期工程扩建污水处理总规模15万吨/日，建成后污水处理总规模达20万吨/日，污水回用规模15万吨/日。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7.95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PPP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市水务集团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中央环保督察项目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赛汗塔拉提档升级改扩建工程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1.西侧绿化修复改造工程2.按照海绵城市理念，依托四道沙河实施相关的景观水系及生态修复工程。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1.00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PPP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已完成2800亩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征拆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民族西路北延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建设工程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环城铁路北100米—110国道段全长830米，包括雨水污水管网、安装路灯以及人行便道的铺装工程。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1.51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0.30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0.30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收尾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站南路道路建设工程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完成剩余1.4公里人行便道建设任务。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收尾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红旗大道建设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实施富民东路</w:t>
            </w:r>
            <w:r>
              <w:rPr>
                <w:rFonts w:hint="eastAsia" w:ascii="Times New Roman" w:hAnsi="Times New Roman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萨茹拉大街段，规划红线40米，道路型式三块板，全长910米的道路，修建面积约3.3万平方米，内容包括雨水、污水、中水、亮化、绿化，绿化面积约3200平方米，硬化面积约3685平方米、路灯48基等建设工程。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0.53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0.43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0.43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地下管网已完工，地上续建收尾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主要建设内容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性质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当年计划完成投资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当年政府出资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站前路东延工程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实施建华南路至210国道段，全长2.29公里，包括：道路、桥梁、雨水、污水、硬化、绿化、路灯等。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2.20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1.40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1.40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已完工两座桥，路面续建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收尾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市本级黑臭水体整治工程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实施四道沙河、新南郊进厂管线总计7.2公里污水干管建设工程。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0.65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0.65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0.65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中央环保督察项目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站前路—盛唐路雨水盖板涵建设工程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站前路—中央景观大道，全长1760米。有1公里因征拆原因未能实施。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0.33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0.18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收尾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城市排水防涝系统老旧管网改造工程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雨水管线1条0.84公里，污水管线1条1.3公里。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0.75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收尾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新都市区雨水截流管线工程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完成剩余的140米过210国道顶管工程。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收尾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绿色照明节能改造工程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1.110国道等9条道路路灯续建工程；2.数字化监控管理系统（二期四标）3.锦林公园、劳动公园等8个公园（二期三标）。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1.06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0.60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0.60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中央财政节能减排支持项目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奥林匹克公园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二期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占地面积242公顷。2018年完成剩余的绿化种植任务。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收尾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主要建设内容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性质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当年计划完成投资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当年政府出资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军工文化主题公园建设工程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2018年完成剩余的绿化种植任务。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收尾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召庙公园建设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主要建设内容：绿化、硬化、景观照明及园林景观设施等收尾工程（未拆迁范围尚有1.8万平米，暂缓实施）。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0.56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收尾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井坪公园建设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主要建设内容：在6.8万平米未征拆区域内，待征拆完成后进行绿化、硬化、景观小品及配套照明及灌溉工程。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收尾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包头市公园广场提档升级改造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对植物园、劳动公园、八一公园、锦林公园、包头乐园、银河广场、青年园、迎宾公园、二苗圃及建华路进行局部完善提升。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收尾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奥林匹克公园体育场馆配套基础设施建设工程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对三个体育场馆外围广场进行绿化和基础设施建设。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0.89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0.22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收尾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台地公园一期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包括台地公园湖区及两侧绿化景观的建设（未拆建面积约11万平方米，暂缓实施，投资约4200万元）。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1.27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0.41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0.41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收尾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主要建设内容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性质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当年计划完成投资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当年政府出资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小区绿化提档升级工程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对我市的青松小区、乌兰小区、口岸花苑、东豪新城、富康小区、松石雅居和日月豪庭等18个老旧小区进行绿化改造和提档升级，拟改造的绿化面积约为90万平方米。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压缩投资后收尾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南门外大街改造工程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环城路—火车站，长度1300米。包括：道路、雨水、污水、硬化、绿化、路灯等。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(改造)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0.49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0.40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0.40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包头东站出口道路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沼潭西路改造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站前路—平安路（规划二路）全长450米的道路、雨水、绿化、硬化、路灯工程。道路红线40米，机动车道宽14米，机非分隔带宽2米，非机动车车道宽4.5米。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(改造)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0.44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0.34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0.34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积水安全隐患严重地段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民主转盘改造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转盘拆迁。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(改造)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消除堵点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桥梁病害加固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维修工程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对21座桥梁进行病害检测和修缮；对昆河北桥进行加固。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(改造)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消除安全隐患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包头市城区市政设施升级完善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对红岩道、民族西路、二宫路口等20个路口进行渠化；对部分无灯道路安装路灯。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4.10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0.30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0.30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压缩投资后消除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堵点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城市内涝治理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对10个城市内涝点进行治理。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(改造)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0.60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0.60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水务集团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消除积水隐患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主要建设内容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性质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当年计划完成投资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当年政府出资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夜景照明提升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对奥林匹克公园（两馆一中心和运动员接待中心）、赛汗塔拉城中草原等亮化。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(改造)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0.45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压缩投资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海绵城市示范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对奥林匹克公园、劳动公园等周边的雨水收集、污水治理等进行综合改造。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0.06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压缩投资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赛汗塔拉水系生态治理工程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对赛汗塔拉城中草原的水系进行防洪恢复治理；对进入赛汗塔拉城中草原的雨污水进行分流改造；建设防火监控系统等。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压缩投资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北梁绿道建设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在北梁腾空区实施绿道建设工程。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压缩投资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5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合  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0.50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S211省道后营子至大德恒段改造项目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全长6.95公里，主要实施道路改造、地下管网、绿化、照明等设施。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0.50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市、区两级投资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市城建委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jc w:val="both"/>
        <w:textAlignment w:val="center"/>
        <w:rPr>
          <w:rFonts w:hint="eastAsia" w:ascii="Times New Roman" w:hAnsi="Times New Roman" w:eastAsia="仿宋_GB2312" w:cs="仿宋_GB2312"/>
          <w:i w:val="0"/>
          <w:color w:val="000000"/>
          <w:spacing w:val="0"/>
          <w:kern w:val="0"/>
          <w:sz w:val="30"/>
          <w:szCs w:val="3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jc w:val="both"/>
        <w:textAlignment w:val="center"/>
        <w:rPr>
          <w:rFonts w:hint="eastAsia" w:ascii="Times New Roman" w:hAnsi="Times New Roman" w:eastAsia="仿宋_GB2312" w:cs="仿宋_GB2312"/>
          <w:i w:val="0"/>
          <w:color w:val="000000"/>
          <w:spacing w:val="0"/>
          <w:kern w:val="0"/>
          <w:sz w:val="30"/>
          <w:szCs w:val="30"/>
          <w:u w:val="none"/>
          <w:lang w:val="en-US" w:eastAsia="zh-CN" w:bidi="ar"/>
        </w:rPr>
        <w:sectPr>
          <w:pgSz w:w="16838" w:h="11906" w:orient="landscape"/>
          <w:pgMar w:top="1701" w:right="1984" w:bottom="1701" w:left="1984" w:header="851" w:footer="1757" w:gutter="0"/>
          <w:pgNumType w:fmt="decimal"/>
          <w:cols w:space="720" w:num="1"/>
          <w:rtlGutter w:val="0"/>
          <w:docGrid w:linePitch="315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jc w:val="both"/>
        <w:rPr>
          <w:rFonts w:hint="eastAsia" w:ascii="Times New Roman" w:hAnsi="Times New Roman" w:eastAsia="黑体" w:cs="黑体"/>
          <w:b w:val="0"/>
          <w:bCs/>
          <w:i w:val="0"/>
          <w:color w:val="000000"/>
          <w:spacing w:val="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olor w:val="000000"/>
          <w:spacing w:val="0"/>
          <w:kern w:val="0"/>
          <w:sz w:val="30"/>
          <w:szCs w:val="30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jc w:val="center"/>
        <w:rPr>
          <w:rFonts w:hint="eastAsia" w:ascii="Times New Roman" w:hAnsi="Times New Roman" w:eastAsia="方正小标宋简体" w:cs="方正小标宋简体"/>
          <w:b w:val="0"/>
          <w:bCs/>
          <w:i w:val="0"/>
          <w:color w:val="000000"/>
          <w:spacing w:val="0"/>
          <w:kern w:val="0"/>
          <w:sz w:val="42"/>
          <w:szCs w:val="42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color w:val="000000"/>
          <w:spacing w:val="0"/>
          <w:kern w:val="0"/>
          <w:sz w:val="42"/>
          <w:szCs w:val="42"/>
          <w:u w:val="none"/>
          <w:lang w:val="en-US" w:eastAsia="zh-CN" w:bidi="ar"/>
        </w:rPr>
        <w:t>新区办2018年政府投资城建重点项目表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spacing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olor w:val="000000"/>
          <w:spacing w:val="0"/>
          <w:kern w:val="0"/>
          <w:sz w:val="30"/>
          <w:szCs w:val="30"/>
          <w:u w:val="none"/>
          <w:lang w:val="en-US" w:eastAsia="zh-CN" w:bidi="ar"/>
        </w:rPr>
        <w:t xml:space="preserve">                                                                           </w:t>
      </w:r>
      <w:r>
        <w:rPr>
          <w:rFonts w:hint="eastAsia" w:ascii="Times New Roman" w:hAnsi="Times New Roman" w:eastAsia="宋体" w:cs="宋体"/>
          <w:i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 xml:space="preserve"> 单位：亿元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i w:val="0"/>
          <w:color w:val="000000"/>
          <w:spacing w:val="0"/>
          <w:kern w:val="0"/>
          <w:sz w:val="42"/>
          <w:szCs w:val="42"/>
          <w:u w:val="none"/>
          <w:lang w:val="en-US" w:eastAsia="zh-CN" w:bidi="ar"/>
        </w:rPr>
      </w:pPr>
    </w:p>
    <w:tbl>
      <w:tblPr>
        <w:tblStyle w:val="5"/>
        <w:tblpPr w:leftFromText="180" w:rightFromText="180" w:vertAnchor="text" w:horzAnchor="page" w:tblpXSpec="center" w:tblpY="62"/>
        <w:tblOverlap w:val="never"/>
        <w:tblW w:w="1262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1883"/>
        <w:gridCol w:w="3750"/>
        <w:gridCol w:w="1005"/>
        <w:gridCol w:w="1018"/>
        <w:gridCol w:w="1335"/>
        <w:gridCol w:w="915"/>
        <w:gridCol w:w="60"/>
        <w:gridCol w:w="1005"/>
        <w:gridCol w:w="1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主要建设内容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当年计划完成投资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当年政府出资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6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总    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10.92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8.52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6.09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26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地下管廊及与管廊配套实施的项目4项（地下综合管廊施工完毕回填需配套实施道路工程）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4.18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3.87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1.44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新区管廊建设三期工程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实施纬七西路、经十七路、黄河大街、经十二路北延段管廊，全长4.9公里的综合管廊建设工程，新增管廊长度4.9公里。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2.49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2.43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PPP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经三路道路建设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经三路（110国道</w:t>
            </w:r>
            <w:r>
              <w:rPr>
                <w:rFonts w:hint="eastAsia" w:ascii="Times New Roman" w:hAnsi="Times New Roman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纬八路），道路全长2.5公里、10万平方米，道路红线40米，断面形式三块板，是城市主干路。新增道路长度2.3公里、9.2万平方米。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0.56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纬五路道路建设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纬五路（建华路</w:t>
            </w:r>
            <w:r>
              <w:rPr>
                <w:rFonts w:hint="eastAsia" w:ascii="Times New Roman" w:hAnsi="Times New Roman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210国道），道路全长3.11公里、12.4万平方米，道路红线40米，断面形式三块板，是城市主干路。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0.65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主要建设内容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当年计划完成投资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当年政府出资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经十七道路建设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经十七路（沙河西街</w:t>
            </w:r>
            <w:r>
              <w:rPr>
                <w:rFonts w:hint="eastAsia" w:ascii="Times New Roman" w:hAnsi="Times New Roman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纬十九路），道路全长1.55公里、4.7万平方米，道路红线30米，断面形式一块板，是城市次干路。新增道路长度1.55公里、4.7万平方米。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0.24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26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周边土地准备出让的项目4项（计划出让1324亩，投资列入土地成本，资金直接回笼）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6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1.08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经八路道路建设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经八路（建设路</w:t>
            </w:r>
            <w:r>
              <w:rPr>
                <w:rFonts w:hint="eastAsia" w:ascii="Times New Roman" w:hAnsi="Times New Roman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经十九路），道路全长1.69公里、6.7万平方米，道路红线40米，断面形式三块板，是城市主干路。新增道路长度1.48公里、5.9万平方米。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0.27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经七路道路建设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经七路（110国道</w:t>
            </w:r>
            <w:r>
              <w:rPr>
                <w:rFonts w:hint="eastAsia" w:ascii="Times New Roman" w:hAnsi="Times New Roman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经八路），道路全长1.28公里、7.7万平方米，道路红线60米，断面形式三块板，是城市快速路。新增道路长度0.85公里、5.1万平方米。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0.23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经十六路道路建设工程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1"/>
                <w:kern w:val="0"/>
                <w:sz w:val="21"/>
                <w:szCs w:val="21"/>
                <w:u w:val="none"/>
                <w:lang w:val="en-US" w:eastAsia="zh-CN" w:bidi="ar"/>
              </w:rPr>
              <w:t>经十六路（纬九东路</w:t>
            </w:r>
            <w:r>
              <w:rPr>
                <w:rFonts w:hint="eastAsia" w:ascii="Times New Roman" w:hAnsi="Times New Roman" w:cs="宋体"/>
                <w:i w:val="0"/>
                <w:color w:val="000000"/>
                <w:spacing w:val="-1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1"/>
                <w:kern w:val="0"/>
                <w:sz w:val="21"/>
                <w:szCs w:val="21"/>
                <w:u w:val="none"/>
                <w:lang w:val="en-US" w:eastAsia="zh-CN" w:bidi="ar"/>
              </w:rPr>
              <w:t>纬二十路），道路全长2.54公里、10.2万平方米，道路红线40米，断面形式一块板，是城市主干路。新增道路长度2.38公里、9.5万平方米。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0.43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主要建设内容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当年计划完成投资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当年政府出资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210国道西侧沿路绿化带工程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实施210国道建设路—110国道段西侧沿路绿化带工程，总长度2.2公里，宽度为25至50米，总面积约8.2万平方米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0.15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26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为招商引资项目配套的项目12项（九原万达广场、中东奥特莱斯、绿地项目、富力城、景晟开元、包九中分校等直接配套服务项目运营）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6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3.43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2.59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2.59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经十一路道路建设工程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经十一路（青山路</w:t>
            </w:r>
            <w:r>
              <w:rPr>
                <w:rFonts w:hint="eastAsia" w:ascii="Times New Roman" w:hAnsi="Times New Roman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纬八路），道路全长1.82公里、5.5万平方米，道路红线30米，断面形式一块板，是城市次干路。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0.16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经二十三路道路建设工程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经二十三路（纬九西路</w:t>
            </w:r>
            <w:r>
              <w:rPr>
                <w:rFonts w:hint="eastAsia" w:ascii="Times New Roman" w:hAnsi="Times New Roman" w:cs="宋体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纬十六西路），道路全长1.67公里、4.8万平方米，道路红线22米，断面形式一块板，是城市支路。新增道路长度1.27公里、3.2万平方米。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0.26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纬四路道路建设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纬四路（经一路</w:t>
            </w:r>
            <w:r>
              <w:rPr>
                <w:rFonts w:hint="eastAsia" w:ascii="Times New Roman" w:hAnsi="Times New Roman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经十二路），道路全长2.4公里、7.2万平方米，道路红线30米，断面形式一块板，是城市次干路。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0.42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沿路绿化带建设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经七路、经十二路、经十九路道路沿路绿化带绿化、硬化、景观照明及园林景观设施等建设，经七路沿路绿化带东西两侧各30米宽，经十二路沿路绿化带东侧30米宽，经十九路沿路绿化带东西两侧各30米宽。建设面积共35万平方米，新增绿化面积35公顷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0.80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主要建设内容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当年计划完成投资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当年政府出资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经十五路道路建设工程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2"/>
                <w:kern w:val="0"/>
                <w:sz w:val="21"/>
                <w:szCs w:val="21"/>
                <w:u w:val="none"/>
                <w:lang w:val="en-US" w:eastAsia="zh-CN" w:bidi="ar"/>
              </w:rPr>
              <w:t>经十五路（纬九东路</w:t>
            </w:r>
            <w:r>
              <w:rPr>
                <w:rFonts w:hint="eastAsia" w:ascii="Times New Roman" w:hAnsi="Times New Roman" w:cs="宋体"/>
                <w:i w:val="0"/>
                <w:color w:val="000000"/>
                <w:spacing w:val="-2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2"/>
                <w:kern w:val="0"/>
                <w:sz w:val="21"/>
                <w:szCs w:val="21"/>
                <w:u w:val="none"/>
                <w:lang w:val="en-US" w:eastAsia="zh-CN" w:bidi="ar"/>
              </w:rPr>
              <w:t>纬十四东路），道路全长0.8公里、2.4万平方米，道路红线30米，断面形式一块板，是城市次干路。新增道路长度0.8公里、2.4万平方米。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0.08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规划一路道路建设工程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规划一路（建华路</w:t>
            </w:r>
            <w:r>
              <w:rPr>
                <w:rFonts w:hint="eastAsia" w:ascii="Times New Roman" w:hAnsi="Times New Roman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纬二十路），道路全长1.16公里、3.5万平方米，道路红线30米，断面形式一块板，是城市次干路。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0.18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纬三路道路建设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纬三路（纬四路—纬四路）道路全长0.86公里、2.6万平方米，道路红线30米，断面形式一块板，是城市次干路。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0.15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经六路沿路绿化带建设工程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实施经六路（南段）东侧沿路绿化带绿化、硬化、景观照明及园林景观设施等建设，东侧绿化带宽30米，建设面积2.3万平方米，新增绿化面积2.3公顷。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纬十二西路道路建设工程一期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2"/>
                <w:kern w:val="0"/>
                <w:sz w:val="21"/>
                <w:szCs w:val="21"/>
                <w:u w:val="none"/>
                <w:lang w:val="en-US" w:eastAsia="zh-CN" w:bidi="ar"/>
              </w:rPr>
              <w:t>纬十二西路（建华路</w:t>
            </w:r>
            <w:r>
              <w:rPr>
                <w:rFonts w:hint="eastAsia" w:ascii="Times New Roman" w:hAnsi="Times New Roman" w:cs="宋体"/>
                <w:i w:val="0"/>
                <w:color w:val="000000"/>
                <w:spacing w:val="-2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2"/>
                <w:kern w:val="0"/>
                <w:sz w:val="21"/>
                <w:szCs w:val="21"/>
                <w:u w:val="none"/>
                <w:lang w:val="en-US" w:eastAsia="zh-CN" w:bidi="ar"/>
              </w:rPr>
              <w:t>经十四路），一期道路长0.6公里、1.5万平方米，道路红线30米，断面形式一块板，是城市次干路。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0.12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纬十四西路道路建设工程一期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2"/>
                <w:kern w:val="0"/>
                <w:sz w:val="21"/>
                <w:szCs w:val="21"/>
                <w:u w:val="none"/>
                <w:lang w:val="en-US" w:eastAsia="zh-CN" w:bidi="ar"/>
              </w:rPr>
              <w:t>纬十四西路（建华路</w:t>
            </w:r>
            <w:r>
              <w:rPr>
                <w:rFonts w:hint="eastAsia" w:ascii="Times New Roman" w:hAnsi="Times New Roman" w:cs="宋体"/>
                <w:i w:val="0"/>
                <w:color w:val="000000"/>
                <w:spacing w:val="-2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2"/>
                <w:kern w:val="0"/>
                <w:sz w:val="21"/>
                <w:szCs w:val="21"/>
                <w:u w:val="none"/>
                <w:lang w:val="en-US" w:eastAsia="zh-CN" w:bidi="ar"/>
              </w:rPr>
              <w:t>经十二路），道路全长0.56公里、1.67万平方米，道路红线30米，断面形式一块板，是城市次干路。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0.12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-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主要建设内容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当年计划完成投资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当年政府出资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经十四道路建设工程一期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经十四路道路一期（纬九西路</w:t>
            </w:r>
            <w:r>
              <w:rPr>
                <w:rFonts w:hint="eastAsia" w:ascii="Times New Roman" w:hAnsi="Times New Roman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纬十三路），道路全长0.14公里、1.5万平方米，道路红线40米，断面形式三块板，是城市次主路。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0.15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纬十一道路建设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工程一期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纬十一路（纬五路</w:t>
            </w:r>
            <w:r>
              <w:rPr>
                <w:rFonts w:hint="eastAsia" w:ascii="Times New Roman" w:hAnsi="Times New Roman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纬六路），道路全长0.6公里、1.34万平方米，道路红线22米，断面形式一块板，是城市次干路。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0.10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26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系统性工程项目5项（管网的上下游衔接、绿化断点的连通）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6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合      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0.98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经十九路雨水泵站工程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项目位于经十九路西侧、站前路南侧，占地面积约112.5亩，泵站规模为12.75万吨/日，服务面积约7.5公顷。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0.27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纬十九路管网及道路建设工程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纬十九路（建华路</w:t>
            </w:r>
            <w:r>
              <w:rPr>
                <w:rFonts w:hint="eastAsia" w:ascii="Times New Roman" w:hAnsi="Times New Roman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经十六路），道路全长2公里、6.1万平方米，道路红线30米，断面形式一块板，是城市次干路。管网1.9公里。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0.38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纬九西路绿化带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建设工程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实施纬九西路南北两侧沿路绿化带绿化、硬化、景观照明及园林景观设施等建设，北侧绿化带宽20米，建设面积7.5万平方米，新增绿化面积7.5公顷。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0.11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主要建设内容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当年计划完成投资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当年政府出资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纬九东路绿化带建设工程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实施纬九东路南北两侧沿路绿化带绿化、硬化、景观照明及园林景观设施等建设，北侧绿化带宽20米，建设面积6.5万平方米，新增绿化面积6.5公顷。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0.12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区域环境综合整治工程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区域环境综合整治。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0.10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政府直接投资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新区办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i w:val="0"/>
          <w:color w:val="000000"/>
          <w:spacing w:val="0"/>
          <w:kern w:val="0"/>
          <w:sz w:val="42"/>
          <w:szCs w:val="4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jc w:val="both"/>
        <w:rPr>
          <w:rFonts w:hint="eastAsia" w:ascii="Times New Roman" w:hAnsi="Times New Roman" w:eastAsia="仿宋_GB2312" w:cs="仿宋_GB2312"/>
          <w:spacing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olor w:val="000000"/>
          <w:spacing w:val="0"/>
          <w:kern w:val="0"/>
          <w:sz w:val="30"/>
          <w:szCs w:val="30"/>
          <w:u w:val="none"/>
          <w:lang w:val="en-US" w:eastAsia="zh-CN" w:bidi="ar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jc w:val="both"/>
        <w:rPr>
          <w:rFonts w:hint="eastAsia" w:ascii="Times New Roman" w:hAnsi="Times New Roman" w:eastAsia="仿宋_GB2312" w:cs="仿宋_GB2312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jc w:val="both"/>
        <w:rPr>
          <w:rFonts w:hint="eastAsia" w:ascii="Times New Roman" w:hAnsi="Times New Roman" w:eastAsia="仿宋_GB2312" w:cs="仿宋_GB2312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jc w:val="both"/>
        <w:rPr>
          <w:rFonts w:hint="eastAsia" w:ascii="Times New Roman" w:hAnsi="Times New Roman" w:eastAsia="仿宋_GB2312" w:cs="仿宋_GB2312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jc w:val="both"/>
        <w:rPr>
          <w:rFonts w:hint="eastAsia" w:ascii="Times New Roman" w:hAnsi="Times New Roman" w:eastAsia="仿宋_GB2312" w:cs="仿宋_GB2312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jc w:val="both"/>
        <w:rPr>
          <w:rFonts w:hint="eastAsia" w:ascii="Times New Roman" w:hAnsi="Times New Roman" w:eastAsia="仿宋_GB2312" w:cs="仿宋_GB2312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jc w:val="both"/>
        <w:rPr>
          <w:rFonts w:hint="eastAsia" w:ascii="Times New Roman" w:hAnsi="Times New Roman" w:eastAsia="仿宋_GB2312" w:cs="仿宋_GB2312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jc w:val="both"/>
        <w:rPr>
          <w:rFonts w:hint="eastAsia" w:ascii="Times New Roman" w:hAnsi="Times New Roman" w:eastAsia="仿宋_GB2312" w:cs="仿宋_GB2312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jc w:val="both"/>
        <w:rPr>
          <w:rFonts w:hint="eastAsia" w:ascii="Times New Roman" w:hAnsi="Times New Roman" w:eastAsia="仿宋_GB2312" w:cs="仿宋_GB2312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jc w:val="both"/>
        <w:rPr>
          <w:rFonts w:hint="eastAsia" w:ascii="Times New Roman" w:hAnsi="Times New Roman" w:eastAsia="仿宋_GB2312" w:cs="仿宋_GB2312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jc w:val="both"/>
        <w:rPr>
          <w:rFonts w:hint="eastAsia" w:ascii="Times New Roman" w:hAnsi="Times New Roman" w:eastAsia="仿宋_GB2312" w:cs="仿宋_GB2312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jc w:val="both"/>
        <w:rPr>
          <w:rFonts w:hint="eastAsia" w:ascii="Times New Roman" w:hAnsi="Times New Roman" w:eastAsia="仿宋_GB2312" w:cs="仿宋_GB2312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jc w:val="both"/>
        <w:rPr>
          <w:rFonts w:hint="eastAsia" w:ascii="Times New Roman" w:hAnsi="Times New Roman" w:eastAsia="仿宋_GB2312" w:cs="仿宋_GB2312"/>
          <w:spacing w:val="0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jc w:val="both"/>
        <w:rPr>
          <w:rFonts w:hint="eastAsia" w:ascii="Times New Roman" w:hAnsi="Times New Roman" w:eastAsia="黑体" w:cs="黑体"/>
          <w:b w:val="0"/>
          <w:bCs/>
          <w:i w:val="0"/>
          <w:color w:val="000000"/>
          <w:spacing w:val="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olor w:val="000000"/>
          <w:spacing w:val="0"/>
          <w:kern w:val="0"/>
          <w:sz w:val="30"/>
          <w:szCs w:val="30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/>
        <w:jc w:val="center"/>
        <w:rPr>
          <w:rFonts w:hint="eastAsia" w:ascii="Times New Roman" w:hAnsi="Times New Roman" w:eastAsia="方正小标宋简体" w:cs="方正小标宋简体"/>
          <w:b w:val="0"/>
          <w:bCs/>
          <w:i w:val="0"/>
          <w:color w:val="000000"/>
          <w:spacing w:val="0"/>
          <w:kern w:val="0"/>
          <w:sz w:val="42"/>
          <w:szCs w:val="42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color w:val="000000"/>
          <w:spacing w:val="0"/>
          <w:kern w:val="0"/>
          <w:sz w:val="42"/>
          <w:szCs w:val="42"/>
          <w:u w:val="none"/>
          <w:lang w:val="en-US" w:eastAsia="zh-CN" w:bidi="ar"/>
        </w:rPr>
        <w:t>北梁棚改2018年重点项目表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宋体" w:cs="宋体"/>
          <w:i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color w:val="000000"/>
          <w:spacing w:val="0"/>
          <w:kern w:val="0"/>
          <w:sz w:val="30"/>
          <w:szCs w:val="30"/>
          <w:u w:val="none"/>
          <w:lang w:val="en-US" w:eastAsia="zh-CN" w:bidi="ar"/>
        </w:rPr>
        <w:t xml:space="preserve">                                                                       </w:t>
      </w:r>
      <w:r>
        <w:rPr>
          <w:rFonts w:hint="eastAsia" w:ascii="Times New Roman" w:hAnsi="Times New Roman" w:eastAsia="宋体" w:cs="宋体"/>
          <w:i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 xml:space="preserve"> 单位：亿元</w:t>
      </w:r>
    </w:p>
    <w:tbl>
      <w:tblPr>
        <w:tblStyle w:val="5"/>
        <w:tblpPr w:leftFromText="180" w:rightFromText="180" w:vertAnchor="text" w:horzAnchor="page" w:tblpX="2020" w:tblpY="313"/>
        <w:tblOverlap w:val="never"/>
        <w:tblW w:w="1284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6"/>
        <w:gridCol w:w="1694"/>
        <w:gridCol w:w="4150"/>
        <w:gridCol w:w="1065"/>
        <w:gridCol w:w="1125"/>
        <w:gridCol w:w="1050"/>
        <w:gridCol w:w="900"/>
        <w:gridCol w:w="117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主要建设内容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当年计划完成投资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当年政府出资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21.23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6.42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可研项目（列入北梁棚改可研投资收尾项目，资金已足额安排，必须按计划实施完毕）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5.38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2.11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北梁腾空区市政基础设施建设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4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-5"/>
                <w:kern w:val="0"/>
                <w:sz w:val="21"/>
                <w:szCs w:val="21"/>
                <w:u w:val="none"/>
                <w:lang w:val="en-US" w:eastAsia="zh-CN" w:bidi="ar"/>
              </w:rPr>
              <w:t>青山路、井坪路、东北外大街、芳草路、工业路、民生路、副食品厂路、祥和路、乐业道、安居东路、井坪北二路、工业区东路及配套管网。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3.14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1.29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北梁可研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北梁现场指挥部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4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包头市转龙藏公园改造项目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占地面积24.3公顷。包括道路及广场硬化22844平方米、绿化172244平方米、公园水系面积20871平方米、 配套公共建筑及停车场、桥3座及水利工程。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北梁可研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北梁现场指挥部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包头市大水卜洞公园改造项目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总占地面积10.1公顷，东起北梁四街，西至北大街，北起景开中学，南至内环路。一期占地面积5.3公顷，二期工程，占地面积4.8公顷，主要以绿化为主，与一期公园合理衔接。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北梁可研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北梁现场指挥部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主要建设内容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当年计划完成投资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当年政府出资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实施主体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企业债券项目（列入北梁棚改企业债券投资项目，资金已足额安排，必须按计划实施完毕）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15.85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4.31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北梁腾空区市政基础设施建设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北梁四街、北梁五街、北梁七路、北梁八路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企业债券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北梁现场指挥部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北梁腾空区道路桥梁建设工程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北梁一路、北梁二路、北梁三路、北梁四路、中环路、外环路（含东河桥）、井湾路、石桥街、西脑包后街9条道路25.4公里。东河桥处于北梁九路、北梁十路之间，为拱桥，桥梁总长180米。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续建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12.37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2.20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企业债券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市住建集团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北梁腾空区市政基础设施建设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工程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北大街道路及配套管网。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企业债券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北梁现场指挥部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北梁腾空区道路建设工程</w:t>
            </w:r>
          </w:p>
        </w:tc>
        <w:tc>
          <w:tcPr>
            <w:tcW w:w="4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3"/>
                <w:kern w:val="0"/>
                <w:sz w:val="21"/>
                <w:szCs w:val="21"/>
                <w:u w:val="none"/>
                <w:lang w:val="en-US" w:eastAsia="zh-CN" w:bidi="ar"/>
              </w:rPr>
              <w:t>北梁二街、北梁六街、井坪路3条道路5.7公里。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1.77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企业债券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市住建集团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i w:val="0"/>
          <w:color w:val="000000"/>
          <w:spacing w:val="0"/>
          <w:kern w:val="0"/>
          <w:sz w:val="30"/>
          <w:szCs w:val="30"/>
          <w:u w:val="none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01050"/>
    <w:rsid w:val="33A010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2018-03-20T07:21:00Z</dcterms:created>
  <dc:creator>乐</dc:creator>
  <cp:lastModifiedBy>乐</cp:lastModifiedBy>
  <dcterms:modified xsi:type="dcterms:W3CDTF">2018-03-20T07:24:20Z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